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332"/>
        <w:outlineLvl w:val="1"/>
        <w:rPr>
          <w:rFonts w:ascii="PT Astra Serif" w:hAnsi="PT Astra Serif"/>
        </w:rPr>
      </w:pPr>
      <w:r>
        <w:rPr>
          <w:rFonts w:eastAsia="Times New Roman" w:cs="Arial" w:ascii="PT Astra Serif" w:hAnsi="PT Astra Serif"/>
          <w:color w:val="007AD0"/>
          <w:sz w:val="33"/>
          <w:szCs w:val="33"/>
          <w:lang w:eastAsia="ru-RU"/>
        </w:rPr>
        <w:t>Актуализированный перечень документов, регламентирующих проведение НОКО в 2025 году</w:t>
      </w:r>
    </w:p>
    <w:p>
      <w:pPr>
        <w:pStyle w:val="Normal"/>
        <w:shd w:val="clear" w:color="auto" w:fill="FFFFFF"/>
        <w:spacing w:lineRule="atLeast" w:line="305" w:before="0" w:after="138"/>
        <w:rPr>
          <w:rFonts w:ascii="PT Astra Serif" w:hAnsi="PT Astra Serif"/>
        </w:rPr>
      </w:pPr>
      <w:r>
        <w:rPr>
          <w:rFonts w:ascii="PT Astra Serif" w:hAnsi="PT Astra Serif"/>
        </w:rPr>
      </w:r>
    </w:p>
    <w:tbl>
      <w:tblPr>
        <w:tblW w:w="9067" w:type="dxa"/>
        <w:jc w:val="left"/>
        <w:tblInd w:w="98" w:type="dxa"/>
        <w:tblCellMar>
          <w:top w:w="0" w:type="dxa"/>
          <w:left w:w="108" w:type="dxa"/>
          <w:bottom w:w="0" w:type="dxa"/>
          <w:right w:w="108" w:type="dxa"/>
        </w:tblCellMar>
        <w:tblLook w:val="04a0"/>
      </w:tblPr>
      <w:tblGrid>
        <w:gridCol w:w="4254"/>
        <w:gridCol w:w="4812"/>
      </w:tblGrid>
      <w:tr>
        <w:trPr/>
        <w:tc>
          <w:tcPr>
            <w:tcW w:w="4254"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jc w:val="center"/>
              <w:rPr>
                <w:rFonts w:ascii="PT Astra Serif" w:hAnsi="PT Astra Serif"/>
                <w:sz w:val="24"/>
                <w:szCs w:val="24"/>
              </w:rPr>
            </w:pPr>
            <w:r>
              <w:rPr>
                <w:rFonts w:eastAsia="Times New Roman" w:cs="Tahoma" w:ascii="PT Astra Serif" w:hAnsi="PT Astra Serif"/>
                <w:b/>
                <w:bCs/>
                <w:color w:val="555555"/>
                <w:sz w:val="24"/>
                <w:szCs w:val="24"/>
                <w:lang w:eastAsia="ru-RU"/>
              </w:rPr>
              <w:t>Наименование и реквизиты документа</w:t>
            </w:r>
          </w:p>
        </w:tc>
        <w:tc>
          <w:tcPr>
            <w:tcW w:w="4812" w:type="dxa"/>
            <w:tcBorders>
              <w:top w:val="single" w:sz="8" w:space="0" w:color="000000"/>
              <w:bottom w:val="single" w:sz="8" w:space="0" w:color="000000"/>
              <w:right w:val="single" w:sz="8" w:space="0" w:color="000000"/>
            </w:tcBorders>
          </w:tcPr>
          <w:p>
            <w:pPr>
              <w:pStyle w:val="Normal"/>
              <w:spacing w:lineRule="auto" w:line="240" w:before="0" w:after="0"/>
              <w:jc w:val="center"/>
              <w:rPr>
                <w:rFonts w:ascii="PT Astra Serif" w:hAnsi="PT Astra Serif"/>
                <w:sz w:val="24"/>
                <w:szCs w:val="24"/>
              </w:rPr>
            </w:pPr>
            <w:r>
              <w:rPr>
                <w:rFonts w:eastAsia="Times New Roman" w:cs="Tahoma" w:ascii="PT Astra Serif" w:hAnsi="PT Astra Serif"/>
                <w:b/>
                <w:bCs/>
                <w:color w:val="555555"/>
                <w:sz w:val="24"/>
                <w:szCs w:val="24"/>
                <w:lang w:eastAsia="ru-RU"/>
              </w:rPr>
              <w:t>Особенности</w:t>
            </w:r>
          </w:p>
          <w:p>
            <w:pPr>
              <w:pStyle w:val="Normal"/>
              <w:spacing w:lineRule="auto" w:line="240" w:before="0" w:after="0"/>
              <w:jc w:val="center"/>
              <w:rPr>
                <w:rFonts w:ascii="PT Astra Serif" w:hAnsi="PT Astra Serif"/>
                <w:sz w:val="24"/>
                <w:szCs w:val="24"/>
              </w:rPr>
            </w:pPr>
            <w:r>
              <w:rPr>
                <w:rFonts w:eastAsia="Times New Roman" w:cs="Tahoma" w:ascii="PT Astra Serif" w:hAnsi="PT Astra Serif"/>
                <w:b/>
                <w:bCs/>
                <w:color w:val="555555"/>
                <w:sz w:val="24"/>
                <w:szCs w:val="24"/>
                <w:lang w:eastAsia="ru-RU"/>
              </w:rPr>
              <w:t>(изменения, дополнения)</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Федеральный закон от 29.12.2012 года № 273-ФЗ «Об образовании в Российской Федерации»</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Статья 95.2 – без изменений.</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Федеральный закон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Без изменений.</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Постановление Правительства Российской Федерации от 17.04.2018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Без изменений.</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Без изменений.</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Приказ Министерства труда</w:t>
              <w:br/>
              <w:t>и социальной защиты РФ от 30.10.2018 № 675н «Об утверждении Методики выявления и обобщения мнения граждан о качестве условий оказания услуг организациями</w:t>
              <w:br/>
              <w:t>в сфере культуры, охраны здоровья, образования, социального обслуживания и федеральными учреждениями медико-социальной экспертизы» (с изменениями</w:t>
              <w:br/>
              <w:t>и дополнениями)</w:t>
            </w:r>
          </w:p>
        </w:tc>
        <w:tc>
          <w:tcPr>
            <w:tcW w:w="4812" w:type="dxa"/>
            <w:tcBorders>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Вступили в силу с 01.01.2024.</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Изменения коснулись двух пунктов и появился новый пункт 9.</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Пункт 2 подп. 1) анкетирование получателей услуг (в тем числе онлайн-анкетирование по анкете, размещенной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(далее - официальный сайт) и на сервисах официального сайта («мобильное приложение для гражданина» и «мобильное приложение для оператора»),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также на специализированном сайте/сервисе организаций,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Пункт 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Рекомендуемая доля респондентов, подлежащих опросу через официальный сайт и его сервис "мобильное приложение для гражданина", составляет </w:t>
            </w:r>
            <w:r>
              <w:rPr>
                <w:rFonts w:eastAsia="Times New Roman" w:cs="Tahoma" w:ascii="PT Astra Serif" w:hAnsi="PT Astra Serif"/>
                <w:b/>
                <w:bCs/>
                <w:color w:val="555555"/>
                <w:sz w:val="24"/>
                <w:szCs w:val="24"/>
                <w:lang w:eastAsia="ru-RU"/>
              </w:rPr>
              <w:t>не менее 20%</w:t>
            </w:r>
            <w:r>
              <w:rPr>
                <w:rFonts w:eastAsia="Times New Roman" w:cs="Tahoma" w:ascii="PT Astra Serif" w:hAnsi="PT Astra Serif"/>
                <w:color w:val="555555"/>
                <w:sz w:val="24"/>
                <w:szCs w:val="24"/>
                <w:lang w:eastAsia="ru-RU"/>
              </w:rPr>
              <w:t> от выборочной совокупности респондентов.</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Пункт 9. Сбор и обобщение информации о качестве условий оказания услуг может проводиться с использованием сервисов официального сайта, включая «мобильное приложение для оператора».</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4812" w:type="dxa"/>
            <w:tcBorders>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Без изменений.</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1. Показатели, характеризующие открытость и доступность информации об организации, осуществляющей образовательную деятельность (далее – организация).</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установленными нормативными правовыми актами: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 информационных стендах в помещении организации;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 официальном сайте организации в информационно-телекоммуникационной сети «Интернет» (далее – сайт).</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1.2. Наличие на официальном сайте организации (учреждения) о дистанционных способах обратной связи и взаимодействия с получателями услуг и их функционирование:</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телефона;</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электронной почты;</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и сайте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2. Показатели, характеризующие комфортность условий, в которых осуществляется образовательная деятельность.</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2.1. Обеспечение в организации комфортных условий, в которых осуществляется образовательная деятельность:</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зоны отдыха (ожидания);</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и понятность навигации внутри организации;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и доступность питьевой воды;</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и доступность санитарно-гигиенических помещений;</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санитарное состояние помещений организации.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3. Показатели, характеризующие доступность образовательной деятельности для инвалидов.</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3.1. Оборудование территории, прилегающей к зданию организации, и помещений с учетом доступности для инвалидов:</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оборудование входных групп пандусами (подъемными платформами);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выделенных стоянок для автотранспортных средств инвалидов;</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адаптированных лифтов, поручней, расширенных дверных проемов;</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сменных кресел-колясок;</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наличие специально оборудованных санитарно-гигиенических помещений в организации.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3.2. Обеспечение в организации условий доступности, позволяющих инвалидам получать образовательные услуги наравне с другими: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дублирование для инвалидов по слуху и зрению звуковой и зрительной информации;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дублирование надписей, знаков и другой текстовой и графической информации знаками, выполненными рельефно-точечным шрифтом Брайля;</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возможность предоставления инвалидам по слуху (слуху и зрению) услуг сурдопереводчика (тифлосурдопереводчика);</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альтернативной версии сайта организации для инвалидов по зрению;</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pPr>
              <w:pStyle w:val="Normal"/>
              <w:spacing w:lineRule="auto" w:line="240" w:before="0" w:after="0"/>
              <w:ind w:firstLine="709"/>
              <w:jc w:val="both"/>
              <w:rPr>
                <w:rFonts w:ascii="PT Astra Serif" w:hAnsi="PT Astra Serif"/>
                <w:sz w:val="24"/>
                <w:szCs w:val="24"/>
              </w:rPr>
            </w:pPr>
            <w:r>
              <w:rPr>
                <w:rFonts w:eastAsia="Times New Roman" w:cs="Tahoma" w:ascii="PT Astra Serif" w:hAnsi="PT Astra Serif"/>
                <w:color w:val="555555"/>
                <w:sz w:val="24"/>
                <w:szCs w:val="24"/>
                <w:lang w:eastAsia="ru-RU"/>
              </w:rPr>
              <w:t>возможность предоставления образовательных услуг в дистанционном режиме или на дому.</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4. Показатели, характеризующие доброжелательность, вежливость работников образования.</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r>
              <w:rPr>
                <w:rFonts w:ascii="PT Astra Serif" w:hAnsi="PT Astra Serif"/>
                <w:sz w:val="24"/>
                <w:szCs w:val="24"/>
              </w:rPr>
              <w:drawing>
                <wp:inline distT="0" distB="0" distL="0" distR="0">
                  <wp:extent cx="14605" cy="14605"/>
                  <wp:effectExtent l="0" t="0" r="0" b="0"/>
                  <wp:docPr id="1" name="Рисунок 1" descr="Хочу такой сайт">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Хочу такой сайт">
                            <a:hlinkClick r:id="rId3"/>
                          </pic:cNvP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5. Показатели, характеризующие удовлетворенность условиями осуществления образовательной деятельности организацией.</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5.1. Для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5.2. Для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5.3. Для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образовательных услуг).</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Приказ Министерства финансов Российской Федерации от 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Без изменений.</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Приказ Министерства просвещения Российской Федерации от 22.03.2021</w:t>
              <w:br/>
              <w:t>№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11 февраля, 7 октября, 5 декабря 2022 г., 3 августа, 29 сентября 2023 г.)</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Действует до 01.09.2027.</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Приказ Минтруда России от 28.12.2023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4812" w:type="dxa"/>
            <w:tcBorders>
              <w:bottom w:val="single" w:sz="8" w:space="0" w:color="000000"/>
              <w:right w:val="single" w:sz="8" w:space="0" w:color="000000"/>
            </w:tcBorders>
          </w:tcPr>
          <w:p>
            <w:pPr>
              <w:pStyle w:val="Normal"/>
              <w:spacing w:lineRule="auto" w:line="240" w:before="0" w:after="0"/>
              <w:rPr>
                <w:rFonts w:ascii="PT Astra Serif" w:hAnsi="PT Astra Serif"/>
                <w:sz w:val="24"/>
                <w:szCs w:val="24"/>
              </w:rPr>
            </w:pPr>
            <w:r>
              <w:rPr>
                <w:rFonts w:eastAsia="Times New Roman" w:cs="Tahoma" w:ascii="PT Astra Serif" w:hAnsi="PT Astra Serif"/>
                <w:color w:val="555555"/>
                <w:sz w:val="24"/>
                <w:szCs w:val="24"/>
                <w:lang w:eastAsia="ru-RU"/>
              </w:rPr>
              <w:t>Без изменений.</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Методическими рекомендациями установлена методика организации работы в рамках проведения независимой оценки качества. Указаны участники независимой оценки качества и сферы их ответственности (органы исполнительной власти субъектов Российской Федерации, органы местного самоуправления муниципальных районов и городских округов, Общественные палаты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по проведению независимой оценки качества при органах государственной власти и муниципальных образованиях, операторы, организации социальной сферы, учредители организаций, граждане-получатели услуг). Регламентированы положения независимой оценки качества на региональном и муниципальном уровне, а также деятельность организаций социальной сферы по использованию результатов независимой оценки качества для повышения качества условий оказания услуг.</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c>
          <w:tcPr>
            <w:tcW w:w="4812" w:type="dxa"/>
            <w:tcBorders>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Вступил в силу с 01.09.2024.</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НОКО в 2024 году проводилось с учетом приказа Федеральной службы по надзору в сфере образования и науки РФ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Основные изменения коснулись подразделов - увеличилось их количество с 11 до 13, наполнение.</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Было: «3. Специальный раздел должен содержать подразделы»:</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«Основные сведения»;</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«Структура и органы управления образовательной организацией»;</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«Документы»;</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«Образование»;</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«Руководство. Педагогический (научно-педагогический) состав»;</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«Материально-техническое обеспечение и оснащенность образовательного процесса»;</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«Платные образовательные услуги»;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«Финансово-хозяйственная деятельность»;</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«Вакантные места для приема (перевода) обучающихся»;</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«Доступная среда»;</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«Международное сотрудничество».</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     </w:t>
            </w:r>
            <w:r>
              <w:rPr>
                <w:rFonts w:eastAsia="Times New Roman" w:cs="Tahoma" w:ascii="PT Astra Serif" w:hAnsi="PT Astra Serif"/>
                <w:color w:val="555555"/>
                <w:sz w:val="24"/>
                <w:szCs w:val="24"/>
                <w:lang w:eastAsia="ru-RU"/>
              </w:rPr>
              <w:t>Стало: «6. Раздел должен содержать подразделы»:</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«Основные сведения»;</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«Структура и органы управления образовательной организацией»;</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«Документы»;</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«Образование»;</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«Руководство»;</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«Педагогический состав»;</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«Материально-техническое обеспечение и оснащенность образовательного процесса. Доступная среда»;</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«Платные образовательные услуги»;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«Финансово-хозяйственная деятельность»;</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«Вакантные места для приема (перевода) обучающихся»;</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«Стипендии и меры поддержки»;</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«Международное сотрудничество»;</w:t>
            </w:r>
          </w:p>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«Организация питания в образовательной организации».</w:t>
            </w:r>
          </w:p>
        </w:tc>
      </w:tr>
      <w:tr>
        <w:trPr/>
        <w:tc>
          <w:tcPr>
            <w:tcW w:w="4254" w:type="dxa"/>
            <w:tcBorders>
              <w:left w:val="single" w:sz="8" w:space="0" w:color="000000"/>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Письмо Минпросвещения России от 28.02.2023 № 02-139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tc>
        <w:tc>
          <w:tcPr>
            <w:tcW w:w="4812" w:type="dxa"/>
            <w:tcBorders>
              <w:bottom w:val="single" w:sz="8" w:space="0" w:color="000000"/>
              <w:right w:val="single" w:sz="8" w:space="0" w:color="000000"/>
            </w:tcBorders>
          </w:tcPr>
          <w:p>
            <w:pPr>
              <w:pStyle w:val="Normal"/>
              <w:spacing w:lineRule="auto" w:line="240" w:before="0" w:after="0"/>
              <w:jc w:val="both"/>
              <w:rPr>
                <w:rFonts w:ascii="PT Astra Serif" w:hAnsi="PT Astra Serif"/>
                <w:sz w:val="24"/>
                <w:szCs w:val="24"/>
              </w:rPr>
            </w:pPr>
            <w:r>
              <w:rPr>
                <w:rFonts w:eastAsia="Times New Roman" w:cs="Tahoma" w:ascii="PT Astra Serif" w:hAnsi="PT Astra Serif"/>
                <w:color w:val="555555"/>
                <w:sz w:val="24"/>
                <w:szCs w:val="24"/>
                <w:lang w:eastAsia="ru-RU"/>
              </w:rPr>
              <w:t>Представлена полная на 2023 год нормативная база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r>
    </w:tbl>
    <w:p>
      <w:pPr>
        <w:pStyle w:val="Normal"/>
        <w:spacing w:before="0" w:after="200"/>
        <w:rPr>
          <w:rFonts w:ascii="PT Astra Serif" w:hAnsi="PT Astra Serif"/>
        </w:rPr>
      </w:pPr>
      <w:r>
        <w:rPr>
          <w:rFonts w:ascii="PT Astra Serif" w:hAnsi="PT Astra Serif"/>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PT Astra Serif">
    <w:charset w:val="01"/>
    <w:family w:val="roman"/>
    <w:pitch w:val="variable"/>
  </w:font>
</w:fonts>
</file>

<file path=word/settings.xml><?xml version="1.0" encoding="utf-8"?>
<w:settings xmlns:w="http://schemas.openxmlformats.org/wordprocessingml/2006/main">
  <w:zoom w:percent="108"/>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4a5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39728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397281"/>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397281"/>
    <w:rPr>
      <w:b/>
      <w:bCs/>
    </w:rPr>
  </w:style>
  <w:style w:type="character" w:styleId="Style13" w:customStyle="1">
    <w:name w:val="Текст выноски Знак"/>
    <w:basedOn w:val="DefaultParagraphFont"/>
    <w:link w:val="a5"/>
    <w:uiPriority w:val="99"/>
    <w:semiHidden/>
    <w:qFormat/>
    <w:rsid w:val="00397281"/>
    <w:rPr>
      <w:rFonts w:ascii="Tahoma" w:hAnsi="Tahoma" w:cs="Tahoma"/>
      <w:sz w:val="16"/>
      <w:szCs w:val="16"/>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397281"/>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39728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1089;&#1072;&#1081;&#1090;&#1086;&#1073;&#1088;&#1072;&#1079;&#1086;&#1074;&#1072;&#1085;&#1080;&#1103;.&#1088;&#1092;/"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8</Pages>
  <Words>1501</Words>
  <Characters>12322</Characters>
  <CharactersWithSpaces>13773</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2025-02-19T12:27:00Z</dcterms:created>
  <dc:creator>User2</dc:creator>
  <dc:description/>
  <dc:language>ru-RU</dc:language>
  <cp:lastModifiedBy/>
  <cp:lastPrinted>2025-02-19T12:28:00Z</cp:lastPrinted>
  <dcterms:modified xsi:type="dcterms:W3CDTF">2025-02-19T17:01:48Z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